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黑体" w:hAnsi="宋体" w:eastAsia="黑体" w:cs="新宋体-18030"/>
          <w:b/>
          <w:color w:val="000000"/>
          <w:sz w:val="44"/>
          <w:szCs w:val="44"/>
          <w:u w:val="single"/>
        </w:rPr>
      </w:pPr>
    </w:p>
    <w:p>
      <w:pPr>
        <w:spacing w:line="300" w:lineRule="auto"/>
        <w:rPr>
          <w:rFonts w:ascii="黑体" w:hAnsi="宋体" w:eastAsia="黑体" w:cs="新宋体-18030"/>
          <w:b/>
          <w:color w:val="000000"/>
          <w:sz w:val="44"/>
          <w:szCs w:val="44"/>
          <w:u w:val="single"/>
        </w:rPr>
      </w:pPr>
    </w:p>
    <w:p>
      <w:pPr>
        <w:spacing w:line="300" w:lineRule="auto"/>
        <w:rPr>
          <w:rFonts w:ascii="黑体" w:hAnsi="宋体" w:eastAsia="黑体" w:cs="新宋体-18030"/>
          <w:b/>
          <w:color w:val="000000"/>
          <w:sz w:val="44"/>
          <w:szCs w:val="44"/>
          <w:u w:val="single"/>
        </w:rPr>
      </w:pPr>
    </w:p>
    <w:p>
      <w:pPr>
        <w:spacing w:line="300" w:lineRule="auto"/>
        <w:rPr>
          <w:rFonts w:ascii="黑体" w:hAnsi="宋体" w:eastAsia="黑体" w:cs="新宋体-18030"/>
          <w:b/>
          <w:color w:val="000000"/>
          <w:sz w:val="44"/>
          <w:szCs w:val="44"/>
          <w:u w:val="single"/>
        </w:rPr>
      </w:pPr>
    </w:p>
    <w:p>
      <w:pPr>
        <w:spacing w:line="300" w:lineRule="auto"/>
        <w:rPr>
          <w:rFonts w:ascii="黑体" w:hAnsi="宋体" w:eastAsia="黑体" w:cs="新宋体-18030"/>
          <w:b/>
          <w:color w:val="000000"/>
          <w:sz w:val="44"/>
          <w:szCs w:val="44"/>
          <w:u w:val="single"/>
        </w:rPr>
      </w:pPr>
    </w:p>
    <w:p>
      <w:pPr>
        <w:spacing w:line="300" w:lineRule="auto"/>
        <w:jc w:val="center"/>
        <w:rPr>
          <w:rFonts w:ascii="黑体" w:hAnsi="宋体" w:eastAsia="黑体" w:cs="新宋体-18030"/>
          <w:b/>
          <w:color w:val="000000"/>
          <w:sz w:val="44"/>
          <w:szCs w:val="44"/>
          <w:u w:val="single"/>
        </w:rPr>
      </w:pPr>
      <w:r>
        <w:rPr>
          <w:rFonts w:hint="eastAsia" w:ascii="黑体" w:hAnsi="宋体" w:eastAsia="黑体" w:cs="新宋体-18030"/>
          <w:b/>
          <w:color w:val="000000"/>
          <w:sz w:val="44"/>
          <w:szCs w:val="44"/>
          <w:u w:val="single"/>
        </w:rPr>
        <w:t>江 苏 陶 欣 伯 助 学 基 金 会</w:t>
      </w:r>
    </w:p>
    <w:p>
      <w:pPr>
        <w:wordWrap w:val="0"/>
        <w:spacing w:line="300" w:lineRule="auto"/>
        <w:jc w:val="right"/>
        <w:rPr>
          <w:rFonts w:ascii="仿宋" w:hAnsi="仿宋" w:eastAsia="仿宋" w:cs="新宋体-18030"/>
          <w:color w:val="000000"/>
          <w:sz w:val="28"/>
          <w:szCs w:val="28"/>
        </w:rPr>
      </w:pPr>
      <w:r>
        <w:rPr>
          <w:rFonts w:hint="eastAsia" w:ascii="仿宋" w:hAnsi="仿宋" w:eastAsia="仿宋" w:cs="新宋体-18030"/>
          <w:color w:val="000000"/>
          <w:sz w:val="28"/>
          <w:szCs w:val="28"/>
        </w:rPr>
        <w:t>（苏陶助字</w:t>
      </w:r>
      <w:r>
        <w:rPr>
          <w:rFonts w:hint="eastAsia" w:ascii="仿宋" w:hAnsi="仿宋" w:eastAsia="仿宋" w:cs="Arial Unicode MS"/>
          <w:color w:val="000000"/>
          <w:sz w:val="28"/>
          <w:szCs w:val="28"/>
        </w:rPr>
        <w:t>〔2020〕第</w:t>
      </w:r>
      <w:r>
        <w:rPr>
          <w:rFonts w:ascii="仿宋" w:hAnsi="仿宋" w:eastAsia="仿宋" w:cs="Arial Unicode MS"/>
          <w:color w:val="000000"/>
          <w:sz w:val="28"/>
          <w:szCs w:val="28"/>
        </w:rPr>
        <w:t>12</w:t>
      </w:r>
      <w:r>
        <w:rPr>
          <w:rFonts w:hint="eastAsia" w:ascii="仿宋" w:hAnsi="仿宋" w:eastAsia="仿宋" w:cs="Arial Unicode MS"/>
          <w:color w:val="000000"/>
          <w:sz w:val="28"/>
          <w:szCs w:val="28"/>
        </w:rPr>
        <w:t>号</w:t>
      </w:r>
      <w:r>
        <w:rPr>
          <w:rFonts w:hint="eastAsia" w:ascii="仿宋" w:hAnsi="仿宋" w:eastAsia="仿宋" w:cs="新宋体-18030"/>
          <w:color w:val="000000"/>
          <w:sz w:val="28"/>
          <w:szCs w:val="28"/>
        </w:rPr>
        <w:t>）</w:t>
      </w:r>
    </w:p>
    <w:p>
      <w:pPr>
        <w:spacing w:line="300" w:lineRule="auto"/>
        <w:jc w:val="center"/>
        <w:rPr>
          <w:rFonts w:ascii="黑体" w:hAnsi="宋体" w:eastAsia="黑体" w:cs="新宋体-18030"/>
          <w:color w:val="000000"/>
          <w:sz w:val="36"/>
          <w:szCs w:val="36"/>
        </w:rPr>
      </w:pPr>
    </w:p>
    <w:p>
      <w:pPr>
        <w:spacing w:line="300" w:lineRule="auto"/>
        <w:jc w:val="center"/>
        <w:rPr>
          <w:rFonts w:ascii="黑体" w:hAnsi="宋体" w:eastAsia="黑体" w:cs="新宋体-18030"/>
          <w:color w:val="000000"/>
          <w:sz w:val="36"/>
          <w:szCs w:val="36"/>
        </w:rPr>
      </w:pPr>
    </w:p>
    <w:p>
      <w:pPr>
        <w:spacing w:line="300" w:lineRule="auto"/>
        <w:jc w:val="center"/>
        <w:rPr>
          <w:rFonts w:ascii="黑体" w:hAnsi="宋体" w:eastAsia="黑体" w:cs="新宋体-18030"/>
          <w:color w:val="000000"/>
          <w:sz w:val="36"/>
          <w:szCs w:val="36"/>
        </w:rPr>
      </w:pPr>
      <w:r>
        <w:rPr>
          <w:rFonts w:hint="eastAsia" w:ascii="黑体" w:hAnsi="宋体" w:eastAsia="黑体" w:cs="新宋体-18030"/>
          <w:color w:val="000000"/>
          <w:sz w:val="36"/>
          <w:szCs w:val="36"/>
        </w:rPr>
        <w:t>关于开展伯藜助学金20</w:t>
      </w:r>
      <w:r>
        <w:rPr>
          <w:rFonts w:ascii="黑体" w:hAnsi="宋体" w:eastAsia="黑体" w:cs="新宋体-18030"/>
          <w:color w:val="000000"/>
          <w:sz w:val="36"/>
          <w:szCs w:val="36"/>
        </w:rPr>
        <w:t>20</w:t>
      </w:r>
      <w:r>
        <w:rPr>
          <w:rFonts w:hint="eastAsia" w:ascii="黑体" w:hAnsi="宋体" w:eastAsia="黑体" w:cs="新宋体-18030"/>
          <w:color w:val="000000"/>
          <w:sz w:val="36"/>
          <w:szCs w:val="36"/>
        </w:rPr>
        <w:t>-20</w:t>
      </w:r>
      <w:r>
        <w:rPr>
          <w:rFonts w:ascii="黑体" w:hAnsi="宋体" w:eastAsia="黑体" w:cs="新宋体-18030"/>
          <w:color w:val="000000"/>
          <w:sz w:val="36"/>
          <w:szCs w:val="36"/>
        </w:rPr>
        <w:t>21</w:t>
      </w:r>
      <w:r>
        <w:rPr>
          <w:rFonts w:hint="eastAsia" w:ascii="黑体" w:hAnsi="宋体" w:eastAsia="黑体" w:cs="新宋体-18030"/>
          <w:color w:val="000000"/>
          <w:sz w:val="36"/>
          <w:szCs w:val="36"/>
        </w:rPr>
        <w:t>学年申请审核的通知</w:t>
      </w:r>
    </w:p>
    <w:p/>
    <w:p/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各项目合作院校：</w:t>
      </w:r>
    </w:p>
    <w:p>
      <w:pPr>
        <w:widowControl/>
        <w:shd w:val="clear" w:color="auto" w:fill="FFFFFF"/>
        <w:ind w:firstLine="56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根据《江苏陶欣伯助学基金会“伯藜助学金”实施细则》（以下简称《实施细则》）第五条相关要求，各项目合作院校在新生入学后即可开展“伯藜助学金”宣讲、评选等工作。为顺利推进此项工作，现将有关注意事项沟通如下:</w:t>
      </w:r>
    </w:p>
    <w:p>
      <w:pPr>
        <w:pStyle w:val="11"/>
        <w:numPr>
          <w:ilvl w:val="0"/>
          <w:numId w:val="1"/>
        </w:numPr>
        <w:ind w:left="0" w:firstLine="56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我会于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日起针对新生申请开放管理系统，各项目合作院校提交新生申请材料的截止期为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11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15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日；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11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15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24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时我会将准时关闭管理系统。请各项目合作院校注意时间节点，做好“伯藜助学金”宣传工作（可引导伯藜学社开展志愿服务帮助引导新生进行“伯藜助学金”申请、管理系统填写；学校应根据国家或省资助部门要求开展民主评议、公示等方式进行选拔），最终经学校“伯藜助学金”评审委员会评审后报我会审核。</w:t>
      </w:r>
    </w:p>
    <w:p>
      <w:pPr>
        <w:pStyle w:val="11"/>
        <w:numPr>
          <w:ilvl w:val="0"/>
          <w:numId w:val="1"/>
        </w:numPr>
        <w:ind w:left="0" w:firstLine="56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请提醒新生务必在登录后先完成【个人信息维护】再进行【申请伯藜助学金】操作。个人信息维护未完成就进行申请操作，可能会造成申请表信息不全，最终导致无法通过审核。</w:t>
      </w:r>
    </w:p>
    <w:p>
      <w:pPr>
        <w:pStyle w:val="11"/>
        <w:numPr>
          <w:ilvl w:val="0"/>
          <w:numId w:val="1"/>
        </w:numPr>
        <w:ind w:left="0" w:firstLine="56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请各项目合作院校提醒申请“伯藜助学金”的同学如实、全面、认真填写申请表相关内容，我会对于弄虚作假、抄袭等行为持“零容忍”态度。如发现有弄虚作假、抄袭的现象，我会将直接不通过审核并取消当事人的申请资格，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且不再替换替补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。对于陶学子抄袭情况较多的项目合作院校，我会将考虑在今后合作中减少资助名额。</w:t>
      </w:r>
    </w:p>
    <w:p>
      <w:pPr>
        <w:pStyle w:val="11"/>
        <w:numPr>
          <w:ilvl w:val="0"/>
          <w:numId w:val="1"/>
        </w:numPr>
        <w:ind w:left="0" w:firstLine="56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各项目合作院校在围绕基金会宗旨的基础上可灵活探索“伯藜助学金”的选拔方式，最终选拔出“贫困”“有志”“来自农村地区”的优秀大学生（请务必排除来自城市、高校民办独立学院、中外合作办学或联合办学等不符合“伯藜助学金”资助条件的学生）。</w:t>
      </w:r>
    </w:p>
    <w:p>
      <w:pPr>
        <w:pStyle w:val="11"/>
        <w:numPr>
          <w:ilvl w:val="0"/>
          <w:numId w:val="1"/>
        </w:numPr>
        <w:ind w:left="0" w:firstLine="56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在审核中，请提醒新生务必上传《家庭经济困难学生认定表》等辅助证明材料；如有《扶贫手册》、“低保”证明、随《录取通知书》寄发的《伯藜助学金申请表》等能辅助证明家庭经济困难的相关材料，请尽可能一并上传以方便审核，上传相关证明材料图片应保证内容清晰可读。</w:t>
      </w:r>
    </w:p>
    <w:p>
      <w:pPr>
        <w:pStyle w:val="11"/>
        <w:numPr>
          <w:ilvl w:val="0"/>
          <w:numId w:val="1"/>
        </w:numPr>
        <w:ind w:left="0" w:firstLine="56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根据《实施细则》中第四条第五款要求，同一家庭只允许一人接受“伯藜助学金”的资助。如果一个家庭中曾有过或正在有其他兄弟姐妹接受“伯藜助学金”资助，我会将不再接受同一家庭中其他学生的申请。希望各项目合作院校在宣传时向申请者做出明确说明。</w:t>
      </w:r>
    </w:p>
    <w:p>
      <w:pPr>
        <w:pStyle w:val="11"/>
        <w:numPr>
          <w:ilvl w:val="0"/>
          <w:numId w:val="1"/>
        </w:numPr>
        <w:ind w:left="0" w:firstLine="56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我会在收到各项目合作院校提交的申请数据后，会对“伯藜助学金”的申请表进行终审，并在审核过程中保持与各校资助中心老师的沟通。请项目合作院校按《实施细则》第六条第三款相关要求，在我会通报审核通过后的一周内将相关纸质材料寄送至我会（包括《伯藜助学金受助陶学子名册》《伯藜助学金受助学生变更替换说明》《陶学子新生申请表》（排序与名册一致））。</w:t>
      </w:r>
    </w:p>
    <w:p>
      <w:pPr>
        <w:pStyle w:val="11"/>
        <w:numPr>
          <w:ilvl w:val="0"/>
          <w:numId w:val="1"/>
        </w:numPr>
        <w:ind w:left="0" w:firstLine="56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我会在收到纸质材料后即安排拨付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伯藜助学金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及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社团管理经费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到各项目合作院校指定账户。请各项目合作院校在收到资助款项的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个工作日内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分别单独开具上述两类款项的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捐赠发票并寄送至我会，并按《实施细则》第六条第五款要求及时将“伯藜助学金”拨付给受助陶学子。</w:t>
      </w:r>
    </w:p>
    <w:p>
      <w:pPr>
        <w:pStyle w:val="11"/>
        <w:numPr>
          <w:ilvl w:val="0"/>
          <w:numId w:val="1"/>
        </w:numPr>
        <w:ind w:left="0" w:firstLine="562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“伯藜助学金”的设立目的是用于“助学”，我会希望把助学金给予那些来自农村地区家庭经济困难的贫困学子，同时通过伯藜学社给这些同学提供一些成长平台和发展机会。我们强调的是贫困基础上的“有志”，贫困与有志互不矛盾，恳请各项目合作院校在实施过程中坚持这些原则。</w:t>
      </w:r>
    </w:p>
    <w:p>
      <w:pPr>
        <w:widowControl/>
        <w:shd w:val="clear" w:color="auto" w:fill="FFFFFF"/>
        <w:ind w:firstLine="56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在“伯藜助学金”新生申请过程中，各位老师如有问题，可咨询我会具体联系贵校的基金会工作人员。有关“伯藜助学金”的问题，亦可咨询江君；有关管理系统的相关问题，可咨询陈超金。各项目合作院校老师也可通过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QQ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“伯藜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-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合作院校</w:t>
      </w:r>
      <w:r>
        <w:rPr>
          <w:rFonts w:eastAsia="仿宋" w:cs="Calibri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工作交流群”进行讨论。</w:t>
      </w:r>
    </w:p>
    <w:p>
      <w:pPr>
        <w:widowControl/>
        <w:shd w:val="clear" w:color="auto" w:fill="FFFFFF"/>
        <w:ind w:firstLine="56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江君，025-85895966-8812，139-5182-8958，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jjiang@sptao-foundation.org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ind w:firstLine="56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陈超金，025-85895966-8813，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37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-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7030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-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5774，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cjchen@sptao-foundation.org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ind w:firstLine="56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感谢各位领导及老师对我会工作的支持！</w:t>
      </w:r>
    </w:p>
    <w:p>
      <w:pPr>
        <w:widowControl/>
        <w:shd w:val="clear" w:color="auto" w:fill="FFFFFF"/>
        <w:spacing w:line="276" w:lineRule="auto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276" w:lineRule="auto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276" w:lineRule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江苏陶欣伯助学基金会数据库伯藜助学金</w:t>
      </w:r>
      <w:bookmarkStart w:id="0" w:name="_GoBack"/>
      <w:bookmarkEnd w:id="0"/>
      <w:r>
        <w:rPr>
          <w:rFonts w:ascii="仿宋" w:hAnsi="仿宋" w:eastAsia="仿宋" w:cs="宋体"/>
          <w:color w:val="000000"/>
          <w:kern w:val="0"/>
          <w:sz w:val="28"/>
          <w:szCs w:val="28"/>
        </w:rPr>
        <w:t>项目操作手册（老师用）-2020年08月</w:t>
      </w:r>
    </w:p>
    <w:p>
      <w:pPr>
        <w:widowControl/>
        <w:shd w:val="clear" w:color="auto" w:fill="FFFFFF"/>
        <w:spacing w:line="276" w:lineRule="auto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276" w:lineRule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江苏陶欣伯助学基金会数据库伯藜助学金项目操作手册（学生用）-2020年08月</w:t>
      </w:r>
    </w:p>
    <w:p>
      <w:pPr>
        <w:widowControl/>
        <w:shd w:val="clear" w:color="auto" w:fill="FFFFFF"/>
        <w:ind w:left="840" w:leftChars="400" w:firstLine="560"/>
        <w:jc w:val="righ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wordWrap w:val="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江苏陶欣伯助学基金会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wordWrap w:val="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二〇二〇年八月二十八日</w:t>
      </w:r>
    </w:p>
    <w:p>
      <w:pPr>
        <w:widowControl/>
        <w:shd w:val="clear" w:color="auto" w:fill="FFFFFF"/>
        <w:ind w:left="840" w:firstLine="560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b/>
        <w:bCs/>
        <w:sz w:val="21"/>
        <w:szCs w:val="21"/>
      </w:rPr>
      <w:fldChar w:fldCharType="begin"/>
    </w:r>
    <w:r>
      <w:rPr>
        <w:rFonts w:ascii="Times New Roman" w:hAnsi="Times New Roman" w:cs="Times New Roman"/>
        <w:b/>
        <w:bCs/>
        <w:sz w:val="21"/>
        <w:szCs w:val="21"/>
      </w:rPr>
      <w:instrText xml:space="preserve">PAGE  \* Arabic  \* MERGEFORMAT</w:instrText>
    </w:r>
    <w:r>
      <w:rPr>
        <w:rFonts w:ascii="Times New Roman" w:hAnsi="Times New Roman" w:cs="Times New Roman"/>
        <w:b/>
        <w:bCs/>
        <w:sz w:val="21"/>
        <w:szCs w:val="21"/>
      </w:rPr>
      <w:fldChar w:fldCharType="separate"/>
    </w:r>
    <w:r>
      <w:rPr>
        <w:rFonts w:ascii="Times New Roman" w:hAnsi="Times New Roman" w:cs="Times New Roman"/>
        <w:b/>
        <w:bCs/>
        <w:sz w:val="21"/>
        <w:szCs w:val="21"/>
        <w:lang w:val="zh-CN"/>
      </w:rPr>
      <w:t>5</w:t>
    </w:r>
    <w:r>
      <w:rPr>
        <w:rFonts w:ascii="Times New Roman" w:hAnsi="Times New Roman" w:cs="Times New Roman"/>
        <w:b/>
        <w:bCs/>
        <w:sz w:val="21"/>
        <w:szCs w:val="21"/>
      </w:rPr>
      <w:fldChar w:fldCharType="end"/>
    </w:r>
    <w:r>
      <w:rPr>
        <w:rFonts w:ascii="Times New Roman" w:hAnsi="Times New Roman" w:cs="Times New Roman"/>
        <w:sz w:val="21"/>
        <w:szCs w:val="21"/>
        <w:lang w:val="zh-CN"/>
      </w:rPr>
      <w:t xml:space="preserve"> / </w:t>
    </w:r>
    <w:r>
      <w:rPr>
        <w:rFonts w:ascii="Times New Roman" w:hAnsi="Times New Roman" w:cs="Times New Roman"/>
        <w:b/>
        <w:bCs/>
        <w:sz w:val="21"/>
        <w:szCs w:val="21"/>
      </w:rPr>
      <w:fldChar w:fldCharType="begin"/>
    </w:r>
    <w:r>
      <w:rPr>
        <w:rFonts w:ascii="Times New Roman" w:hAnsi="Times New Roman" w:cs="Times New Roman"/>
        <w:b/>
        <w:bCs/>
        <w:sz w:val="21"/>
        <w:szCs w:val="21"/>
      </w:rPr>
      <w:instrText xml:space="preserve">NUMPAGES  \* Arabic  \* MERGEFORMAT</w:instrText>
    </w:r>
    <w:r>
      <w:rPr>
        <w:rFonts w:ascii="Times New Roman" w:hAnsi="Times New Roman" w:cs="Times New Roman"/>
        <w:b/>
        <w:bCs/>
        <w:sz w:val="21"/>
        <w:szCs w:val="21"/>
      </w:rPr>
      <w:fldChar w:fldCharType="separate"/>
    </w:r>
    <w:r>
      <w:rPr>
        <w:rFonts w:ascii="Times New Roman" w:hAnsi="Times New Roman" w:cs="Times New Roman"/>
        <w:b/>
        <w:bCs/>
        <w:sz w:val="21"/>
        <w:szCs w:val="21"/>
        <w:lang w:val="zh-CN"/>
      </w:rPr>
      <w:t>7</w:t>
    </w:r>
    <w:r>
      <w:rPr>
        <w:rFonts w:ascii="Times New Roman" w:hAnsi="Times New Roman" w:cs="Times New Roman"/>
        <w:b/>
        <w:bCs/>
        <w:sz w:val="21"/>
        <w:szCs w:val="21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75C"/>
    <w:multiLevelType w:val="multilevel"/>
    <w:tmpl w:val="026C275C"/>
    <w:lvl w:ilvl="0" w:tentative="0">
      <w:start w:val="1"/>
      <w:numFmt w:val="decimal"/>
      <w:lvlText w:val="%1."/>
      <w:lvlJc w:val="left"/>
      <w:pPr>
        <w:ind w:left="980" w:hanging="420"/>
      </w:pPr>
      <w:rPr>
        <w:rFonts w:ascii="仿宋" w:hAnsi="仿宋" w:eastAsia="仿宋" w:cs="宋体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C2"/>
    <w:rsid w:val="00056CB2"/>
    <w:rsid w:val="000633F1"/>
    <w:rsid w:val="000A3562"/>
    <w:rsid w:val="00104DF6"/>
    <w:rsid w:val="00135C8B"/>
    <w:rsid w:val="00173AB8"/>
    <w:rsid w:val="00183225"/>
    <w:rsid w:val="00192D7E"/>
    <w:rsid w:val="001D1501"/>
    <w:rsid w:val="001D5E32"/>
    <w:rsid w:val="00240043"/>
    <w:rsid w:val="00247F37"/>
    <w:rsid w:val="00272A7A"/>
    <w:rsid w:val="00280DB6"/>
    <w:rsid w:val="002B4FC2"/>
    <w:rsid w:val="002C7151"/>
    <w:rsid w:val="002F1015"/>
    <w:rsid w:val="00325FE1"/>
    <w:rsid w:val="00345A5C"/>
    <w:rsid w:val="00362654"/>
    <w:rsid w:val="00363279"/>
    <w:rsid w:val="003813CD"/>
    <w:rsid w:val="003872DD"/>
    <w:rsid w:val="003D48EB"/>
    <w:rsid w:val="00421F4B"/>
    <w:rsid w:val="004312BF"/>
    <w:rsid w:val="00453AB4"/>
    <w:rsid w:val="00485E70"/>
    <w:rsid w:val="00490588"/>
    <w:rsid w:val="00495006"/>
    <w:rsid w:val="004B62A4"/>
    <w:rsid w:val="00500C87"/>
    <w:rsid w:val="00512709"/>
    <w:rsid w:val="00514B2E"/>
    <w:rsid w:val="005951C8"/>
    <w:rsid w:val="005A5421"/>
    <w:rsid w:val="005F119A"/>
    <w:rsid w:val="005F11EF"/>
    <w:rsid w:val="006577E4"/>
    <w:rsid w:val="00697F06"/>
    <w:rsid w:val="006E692A"/>
    <w:rsid w:val="00703B73"/>
    <w:rsid w:val="007610F8"/>
    <w:rsid w:val="007D3A60"/>
    <w:rsid w:val="0080382D"/>
    <w:rsid w:val="0083345F"/>
    <w:rsid w:val="008C72B4"/>
    <w:rsid w:val="009044EF"/>
    <w:rsid w:val="00920929"/>
    <w:rsid w:val="0095479D"/>
    <w:rsid w:val="00964D74"/>
    <w:rsid w:val="00965291"/>
    <w:rsid w:val="0098084B"/>
    <w:rsid w:val="009A0205"/>
    <w:rsid w:val="009A4550"/>
    <w:rsid w:val="00A30E55"/>
    <w:rsid w:val="00A81019"/>
    <w:rsid w:val="00A86140"/>
    <w:rsid w:val="00AE7436"/>
    <w:rsid w:val="00B332D7"/>
    <w:rsid w:val="00B345EE"/>
    <w:rsid w:val="00B82745"/>
    <w:rsid w:val="00B94849"/>
    <w:rsid w:val="00BA6C1E"/>
    <w:rsid w:val="00BC6E99"/>
    <w:rsid w:val="00BD2CC2"/>
    <w:rsid w:val="00BE515F"/>
    <w:rsid w:val="00C05C9C"/>
    <w:rsid w:val="00C11C64"/>
    <w:rsid w:val="00C34CF9"/>
    <w:rsid w:val="00C5504E"/>
    <w:rsid w:val="00C91939"/>
    <w:rsid w:val="00C95DAB"/>
    <w:rsid w:val="00CB0D10"/>
    <w:rsid w:val="00D544AE"/>
    <w:rsid w:val="00DA163E"/>
    <w:rsid w:val="00DA1B27"/>
    <w:rsid w:val="00DD5831"/>
    <w:rsid w:val="00DD7C45"/>
    <w:rsid w:val="00E01538"/>
    <w:rsid w:val="00E247FD"/>
    <w:rsid w:val="00E24C1A"/>
    <w:rsid w:val="00EB587D"/>
    <w:rsid w:val="00ED581F"/>
    <w:rsid w:val="00F02BB9"/>
    <w:rsid w:val="00F67F3B"/>
    <w:rsid w:val="00F762A3"/>
    <w:rsid w:val="00FF6062"/>
    <w:rsid w:val="07722CC5"/>
    <w:rsid w:val="0DAB7246"/>
    <w:rsid w:val="232E70AC"/>
    <w:rsid w:val="23AE3315"/>
    <w:rsid w:val="38882222"/>
    <w:rsid w:val="463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未处理的提及2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Work\_00&#27169;&#26495;&#25991;&#20214;_\20180223-&#22522;&#37329;&#20250;&#34892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20180223-基金会行文模板.dotx</Template>
  <Company>Microsoft</Company>
  <Pages>4</Pages>
  <Words>263</Words>
  <Characters>1500</Characters>
  <Lines>12</Lines>
  <Paragraphs>3</Paragraphs>
  <TotalTime>0</TotalTime>
  <ScaleCrop>false</ScaleCrop>
  <LinksUpToDate>false</LinksUpToDate>
  <CharactersWithSpaces>1760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2020-08-25T05:50:00Z</dcterms:created>
  <dc:creator>Jun Jiang</dc:creator>
  <cp:lastModifiedBy>系统管理员</cp:lastModifiedBy>
  <cp:lastPrinted>2020-08-26T05:27:00Z</cp:lastPrinted>
  <dcterms:modified xsi:type="dcterms:W3CDTF">2020-09-29T09:19:55Z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